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05C" w:rsidRPr="007E405C" w:rsidRDefault="007E405C" w:rsidP="007E405C">
      <w:pPr>
        <w:spacing w:after="0" w:line="20" w:lineRule="atLeast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405C">
        <w:rPr>
          <w:rFonts w:asciiTheme="majorBidi" w:hAnsiTheme="majorBidi" w:cstheme="majorBidi"/>
          <w:b/>
          <w:bCs/>
          <w:sz w:val="24"/>
          <w:szCs w:val="24"/>
        </w:rPr>
        <w:t>Pemetaan Capaian Pembelajaran Dalam Implementasi Kurikulum Berbasis Cinta</w:t>
      </w:r>
    </w:p>
    <w:p w:rsidR="007E405C" w:rsidRPr="007E405C" w:rsidRDefault="007E405C" w:rsidP="007E405C">
      <w:pPr>
        <w:spacing w:after="0" w:line="20" w:lineRule="atLeast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405C">
        <w:rPr>
          <w:rFonts w:asciiTheme="majorBidi" w:hAnsiTheme="majorBidi" w:cstheme="majorBidi"/>
          <w:b/>
          <w:bCs/>
          <w:sz w:val="24"/>
          <w:szCs w:val="24"/>
        </w:rPr>
        <w:t>FASE F / MA (Madrasah Aliyah)</w:t>
      </w:r>
    </w:p>
    <w:p w:rsidR="007E405C" w:rsidRPr="007E405C" w:rsidRDefault="007E405C" w:rsidP="007E405C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</w:p>
    <w:p w:rsidR="007E405C" w:rsidRPr="007E405C" w:rsidRDefault="007E405C" w:rsidP="007E405C">
      <w:pPr>
        <w:spacing w:after="0" w:line="20" w:lineRule="atLeast"/>
        <w:jc w:val="center"/>
        <w:rPr>
          <w:rFonts w:asciiTheme="majorBidi" w:hAnsiTheme="majorBidi" w:cstheme="majorBidi"/>
          <w:sz w:val="24"/>
          <w:szCs w:val="24"/>
        </w:rPr>
      </w:pPr>
      <w:proofErr w:type="gramStart"/>
      <w:r w:rsidRPr="007E405C">
        <w:rPr>
          <w:rFonts w:asciiTheme="majorBidi" w:hAnsiTheme="majorBidi" w:cstheme="majorBidi"/>
          <w:sz w:val="24"/>
          <w:szCs w:val="24"/>
        </w:rPr>
        <w:t>Pemetaan  CP</w:t>
      </w:r>
      <w:proofErr w:type="gramEnd"/>
      <w:r w:rsidRPr="007E405C">
        <w:rPr>
          <w:rFonts w:asciiTheme="majorBidi" w:hAnsiTheme="majorBidi" w:cstheme="majorBidi"/>
          <w:sz w:val="24"/>
          <w:szCs w:val="24"/>
        </w:rPr>
        <w:t xml:space="preserve"> (Capaian Pembelajaran) dan Tema KBC (Kurikulum Berbasis Cinta)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609"/>
        <w:gridCol w:w="5054"/>
        <w:gridCol w:w="4110"/>
        <w:gridCol w:w="426"/>
        <w:gridCol w:w="283"/>
        <w:gridCol w:w="284"/>
        <w:gridCol w:w="425"/>
        <w:gridCol w:w="355"/>
      </w:tblGrid>
      <w:tr w:rsidR="007E405C" w:rsidRPr="007E405C" w:rsidTr="007E405C">
        <w:trPr>
          <w:tblHeader/>
        </w:trPr>
        <w:tc>
          <w:tcPr>
            <w:tcW w:w="1242" w:type="dxa"/>
            <w:vMerge w:val="restart"/>
            <w:shd w:val="clear" w:color="auto" w:fill="8DB3E2" w:themeFill="text2" w:themeFillTint="66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Fase/Jenjang</w:t>
            </w:r>
          </w:p>
        </w:tc>
        <w:tc>
          <w:tcPr>
            <w:tcW w:w="1609" w:type="dxa"/>
            <w:vMerge w:val="restart"/>
            <w:shd w:val="clear" w:color="auto" w:fill="8DB3E2" w:themeFill="text2" w:themeFillTint="66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Elemen</w:t>
            </w:r>
          </w:p>
        </w:tc>
        <w:tc>
          <w:tcPr>
            <w:tcW w:w="5054" w:type="dxa"/>
            <w:vMerge w:val="restart"/>
            <w:shd w:val="clear" w:color="auto" w:fill="8DB3E2" w:themeFill="text2" w:themeFillTint="66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Capaian Pembelajaran (CP)</w:t>
            </w:r>
          </w:p>
        </w:tc>
        <w:tc>
          <w:tcPr>
            <w:tcW w:w="4110" w:type="dxa"/>
            <w:vMerge w:val="restart"/>
            <w:shd w:val="clear" w:color="auto" w:fill="8DB3E2" w:themeFill="text2" w:themeFillTint="66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Materi CP</w:t>
            </w:r>
          </w:p>
        </w:tc>
        <w:tc>
          <w:tcPr>
            <w:tcW w:w="1773" w:type="dxa"/>
            <w:gridSpan w:val="5"/>
            <w:shd w:val="clear" w:color="auto" w:fill="8DB3E2" w:themeFill="text2" w:themeFillTint="66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Tema KBC</w:t>
            </w:r>
          </w:p>
        </w:tc>
      </w:tr>
      <w:tr w:rsidR="007E405C" w:rsidRPr="007E405C" w:rsidTr="00902B8C">
        <w:trPr>
          <w:tblHeader/>
        </w:trPr>
        <w:tc>
          <w:tcPr>
            <w:tcW w:w="1242" w:type="dxa"/>
            <w:vMerge/>
            <w:shd w:val="clear" w:color="auto" w:fill="002060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609" w:type="dxa"/>
            <w:vMerge/>
            <w:shd w:val="clear" w:color="auto" w:fill="002060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054" w:type="dxa"/>
            <w:vMerge/>
            <w:shd w:val="clear" w:color="auto" w:fill="002060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110" w:type="dxa"/>
            <w:vMerge/>
            <w:shd w:val="clear" w:color="auto" w:fill="002060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26" w:type="dxa"/>
            <w:shd w:val="clear" w:color="auto" w:fill="365F91" w:themeFill="accent1" w:themeFillShade="BF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83" w:type="dxa"/>
            <w:shd w:val="clear" w:color="auto" w:fill="365F91" w:themeFill="accent1" w:themeFillShade="BF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84" w:type="dxa"/>
            <w:shd w:val="clear" w:color="auto" w:fill="365F91" w:themeFill="accent1" w:themeFillShade="BF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25" w:type="dxa"/>
            <w:shd w:val="clear" w:color="auto" w:fill="365F91" w:themeFill="accent1" w:themeFillShade="BF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55" w:type="dxa"/>
            <w:shd w:val="clear" w:color="auto" w:fill="365F91" w:themeFill="accent1" w:themeFillShade="BF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</w:tr>
      <w:tr w:rsidR="007E405C" w:rsidRPr="007E405C" w:rsidTr="00902B8C">
        <w:trPr>
          <w:trHeight w:val="285"/>
        </w:trPr>
        <w:tc>
          <w:tcPr>
            <w:tcW w:w="13788" w:type="dxa"/>
            <w:gridSpan w:val="9"/>
            <w:shd w:val="clear" w:color="auto" w:fill="365F91" w:themeFill="accent1" w:themeFillShade="BF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>AKIDAH AKHLAK</w:t>
            </w:r>
          </w:p>
        </w:tc>
      </w:tr>
      <w:tr w:rsidR="007E405C" w:rsidRPr="007E405C" w:rsidTr="007E405C">
        <w:trPr>
          <w:trHeight w:val="285"/>
        </w:trPr>
        <w:tc>
          <w:tcPr>
            <w:tcW w:w="1242" w:type="dxa"/>
            <w:vMerge w:val="restart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>FASE F / MA</w:t>
            </w:r>
          </w:p>
        </w:tc>
        <w:tc>
          <w:tcPr>
            <w:tcW w:w="1609" w:type="dxa"/>
            <w:vMerge w:val="restart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>Akidah</w:t>
            </w:r>
          </w:p>
        </w:tc>
        <w:tc>
          <w:tcPr>
            <w:tcW w:w="5054" w:type="dxa"/>
            <w:vMerge w:val="restart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>Memahami sejarah ilmu kalam, tokoh utama dan ajaran pokok aliran-aliran Ilmu Kalam (</w:t>
            </w:r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Khawarij, </w:t>
            </w:r>
            <w:proofErr w:type="spellStart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Syiah</w:t>
            </w:r>
            <w:proofErr w:type="spellEnd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Murji'ah</w:t>
            </w:r>
            <w:proofErr w:type="spellEnd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Jabariyah</w:t>
            </w:r>
            <w:proofErr w:type="spellEnd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Qodariyah</w:t>
            </w:r>
            <w:proofErr w:type="spellEnd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Mu'tazilah</w:t>
            </w:r>
            <w:proofErr w:type="spellEnd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Ahlas-Sunnahwaal</w:t>
            </w:r>
            <w:proofErr w:type="spellEnd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Jama’ah</w:t>
            </w:r>
            <w:proofErr w:type="spellEnd"/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</w:t>
            </w:r>
            <w:proofErr w:type="spellStart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Asy'ariyahdan</w:t>
            </w:r>
            <w:proofErr w:type="spellEnd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Maturidiyah</w:t>
            </w:r>
            <w:proofErr w:type="spellEnd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), al Asma’ al-Husna (al-‘Afuww, </w:t>
            </w:r>
            <w:proofErr w:type="spellStart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ar</w:t>
            </w:r>
            <w:proofErr w:type="spellEnd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-Razzaq, ad </w:t>
            </w:r>
            <w:proofErr w:type="spellStart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Dhaar</w:t>
            </w:r>
            <w:proofErr w:type="spellEnd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, an-Nafi’, </w:t>
            </w:r>
            <w:proofErr w:type="spellStart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al-Hasib</w:t>
            </w:r>
            <w:proofErr w:type="spellEnd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, al-Hadi, dan al Khalik)</w:t>
            </w:r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, dan dalil serta fakta terkait kematian,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husnulkhatimah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, dan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su'ul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khatimah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4110" w:type="dxa"/>
          </w:tcPr>
          <w:p w:rsidR="007E405C" w:rsidRPr="007E405C" w:rsidRDefault="007E405C" w:rsidP="007E40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Sejarah ilmu kalam. </w:t>
            </w:r>
          </w:p>
        </w:tc>
        <w:tc>
          <w:tcPr>
            <w:tcW w:w="426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4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E405C" w:rsidRPr="007E405C" w:rsidTr="007E405C">
        <w:trPr>
          <w:trHeight w:val="276"/>
        </w:trPr>
        <w:tc>
          <w:tcPr>
            <w:tcW w:w="1242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54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110" w:type="dxa"/>
          </w:tcPr>
          <w:p w:rsidR="007E405C" w:rsidRPr="007E405C" w:rsidRDefault="007E405C" w:rsidP="007E40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Tokoh utama dan ajaran pokok aliran-aliran Ilmu Kalam (Khawarij,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Syiah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Murji'ah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Jabariyah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Qodariyah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Mu'tazilah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ahl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 as-sunnah wa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alJama'ah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Asy'ariyah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 dan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Maturidiyah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). </w:t>
            </w:r>
          </w:p>
        </w:tc>
        <w:tc>
          <w:tcPr>
            <w:tcW w:w="426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4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E405C" w:rsidRPr="007E405C" w:rsidTr="007E405C">
        <w:trPr>
          <w:trHeight w:val="266"/>
        </w:trPr>
        <w:tc>
          <w:tcPr>
            <w:tcW w:w="1242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54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110" w:type="dxa"/>
          </w:tcPr>
          <w:p w:rsidR="007E405C" w:rsidRPr="007E405C" w:rsidRDefault="007E405C" w:rsidP="007E40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 Dalil dan fakta kematian,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husnul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khatimah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su'ul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khatimah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426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E405C" w:rsidRPr="007E405C" w:rsidTr="007E405C">
        <w:trPr>
          <w:trHeight w:val="829"/>
        </w:trPr>
        <w:tc>
          <w:tcPr>
            <w:tcW w:w="1242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54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110" w:type="dxa"/>
          </w:tcPr>
          <w:p w:rsidR="007E405C" w:rsidRPr="007E405C" w:rsidRDefault="007E405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Al-Asma’ al-Husna (al-‘Afuww,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ar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>-Razzaq, ad-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Dhaar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, an-Nafi’,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al-Hasib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>, al-Hadi, dan al-Khalik).</w:t>
            </w:r>
          </w:p>
        </w:tc>
        <w:tc>
          <w:tcPr>
            <w:tcW w:w="426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425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E405C" w:rsidRPr="007E405C" w:rsidTr="007E405C">
        <w:trPr>
          <w:trHeight w:val="241"/>
        </w:trPr>
        <w:tc>
          <w:tcPr>
            <w:tcW w:w="1242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 w:val="restart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>Akhlak</w:t>
            </w:r>
          </w:p>
        </w:tc>
        <w:tc>
          <w:tcPr>
            <w:tcW w:w="5054" w:type="dxa"/>
            <w:vMerge w:val="restart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Memahami tingkatan spiritual (syariat, tarikat, hakikat, dan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ma’rifat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), inti ajaran tasawuf menurut tokoh (Imam Junaid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alBaghdadi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, Rabiah al-Adawiyah, al-Ghazali, Syekh Abdul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Qadiral-Jailani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), sikap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musawah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(persamaan derajat),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tawasuth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(moderat), ukhuwah (persaudaraan), kolaboratif, </w:t>
            </w:r>
            <w:proofErr w:type="spellStart"/>
            <w:r w:rsidRPr="007E405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fastabiqal-khairat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, optimis, dinamis, etika dalam berorganisasi maupun bekerja, dan cara menghindari akhlak tercela (membunuh, </w:t>
            </w:r>
            <w:proofErr w:type="spellStart"/>
            <w:r w:rsidRPr="00674E8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liwath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, LGBT, meminum </w:t>
            </w:r>
            <w:proofErr w:type="spellStart"/>
            <w:r w:rsidRPr="00674E8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khamr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, judi, mencuri, durhaka kepada orang tua, meninggalkan salat, memakan harta anak yatim, korupsi,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israf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>, tabzir, bakhil, keras hati, fitnah, berita bohong (</w:t>
            </w:r>
            <w:proofErr w:type="spellStart"/>
            <w:r w:rsidRPr="00674E8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hoaks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), </w:t>
            </w:r>
            <w:proofErr w:type="spellStart"/>
            <w:r w:rsidRPr="00674E8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namimah</w:t>
            </w:r>
            <w:proofErr w:type="spellEnd"/>
            <w:r w:rsidRPr="00674E8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674E8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tajassus</w:t>
            </w:r>
            <w:proofErr w:type="spellEnd"/>
            <w:r w:rsidRPr="00674E8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674E8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danghibah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>).</w:t>
            </w:r>
          </w:p>
        </w:tc>
        <w:tc>
          <w:tcPr>
            <w:tcW w:w="4110" w:type="dxa"/>
          </w:tcPr>
          <w:p w:rsidR="007E405C" w:rsidRPr="007E405C" w:rsidRDefault="007E405C" w:rsidP="007E405C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Tingkatan spiritual (syariat, tarikat, hakikat, dan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ma’rifat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>).</w:t>
            </w:r>
          </w:p>
        </w:tc>
        <w:tc>
          <w:tcPr>
            <w:tcW w:w="426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4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E405C" w:rsidRPr="007E405C" w:rsidTr="007E405C">
        <w:trPr>
          <w:trHeight w:val="232"/>
        </w:trPr>
        <w:tc>
          <w:tcPr>
            <w:tcW w:w="1242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54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110" w:type="dxa"/>
          </w:tcPr>
          <w:p w:rsidR="007E405C" w:rsidRPr="007E405C" w:rsidRDefault="007E405C" w:rsidP="007E405C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Akhlak tercela (membunuh,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liwath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, LGBT, meminum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khamr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, judi, dan mencuri. </w:t>
            </w:r>
          </w:p>
        </w:tc>
        <w:tc>
          <w:tcPr>
            <w:tcW w:w="426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425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E405C" w:rsidRPr="007E405C" w:rsidTr="007E405C">
        <w:trPr>
          <w:trHeight w:val="235"/>
        </w:trPr>
        <w:tc>
          <w:tcPr>
            <w:tcW w:w="1242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54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4110" w:type="dxa"/>
          </w:tcPr>
          <w:p w:rsidR="007E405C" w:rsidRPr="007E405C" w:rsidRDefault="007E405C" w:rsidP="007E405C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Akhlak tercela durhaka kepada orang tua, meninggalkan salat, memakan harta anak yatim, dan korupsi. </w:t>
            </w:r>
          </w:p>
        </w:tc>
        <w:tc>
          <w:tcPr>
            <w:tcW w:w="426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E405C" w:rsidRPr="007E405C" w:rsidTr="007E405C">
        <w:trPr>
          <w:trHeight w:val="855"/>
        </w:trPr>
        <w:tc>
          <w:tcPr>
            <w:tcW w:w="1242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54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4110" w:type="dxa"/>
          </w:tcPr>
          <w:p w:rsidR="007E405C" w:rsidRPr="007E405C" w:rsidRDefault="007E405C" w:rsidP="007E405C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>Inti ajaran tasawuf menurut tokoh (Imam Junaid al Baghdadi, Rabiah al-Adawiyah, al-Ghazali, Syekh Abdul Qadir al-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Jailani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). </w:t>
            </w:r>
          </w:p>
        </w:tc>
        <w:tc>
          <w:tcPr>
            <w:tcW w:w="426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E405C" w:rsidRPr="007E405C" w:rsidTr="007E405C">
        <w:trPr>
          <w:trHeight w:val="300"/>
        </w:trPr>
        <w:tc>
          <w:tcPr>
            <w:tcW w:w="1242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54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4110" w:type="dxa"/>
          </w:tcPr>
          <w:p w:rsidR="007E405C" w:rsidRPr="007E405C" w:rsidRDefault="007E405C" w:rsidP="007E405C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674E8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Israf</w:t>
            </w:r>
            <w:proofErr w:type="spellEnd"/>
            <w:r w:rsidRPr="00674E8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, tabzir, </w:t>
            </w:r>
            <w:proofErr w:type="spellStart"/>
            <w:r w:rsidRPr="00674E8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danbakhil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426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425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E405C" w:rsidRPr="007E405C" w:rsidTr="007E405C">
        <w:trPr>
          <w:trHeight w:val="270"/>
        </w:trPr>
        <w:tc>
          <w:tcPr>
            <w:tcW w:w="1242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54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4110" w:type="dxa"/>
          </w:tcPr>
          <w:p w:rsidR="007E405C" w:rsidRPr="007E405C" w:rsidRDefault="007E405C" w:rsidP="007E405C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Sikap </w:t>
            </w:r>
            <w:proofErr w:type="spellStart"/>
            <w:r w:rsidRPr="00674E8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musawah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 (persamaan derajat), </w:t>
            </w:r>
            <w:proofErr w:type="spellStart"/>
            <w:r w:rsidRPr="00674E8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tawasuth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 (moderat), </w:t>
            </w:r>
            <w:r w:rsidRPr="00674E8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ukhuwah</w:t>
            </w:r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 (persaudaraan). </w:t>
            </w:r>
          </w:p>
        </w:tc>
        <w:tc>
          <w:tcPr>
            <w:tcW w:w="426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E405C" w:rsidRPr="007E405C" w:rsidTr="007E405C">
        <w:trPr>
          <w:trHeight w:val="360"/>
        </w:trPr>
        <w:tc>
          <w:tcPr>
            <w:tcW w:w="1242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54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4110" w:type="dxa"/>
          </w:tcPr>
          <w:p w:rsidR="007E405C" w:rsidRPr="007E405C" w:rsidRDefault="007E405C" w:rsidP="007E405C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Akhlak tercela keras hati, fitnah, berita bohong </w:t>
            </w:r>
            <w:r w:rsidRPr="00674E8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</w:t>
            </w:r>
            <w:proofErr w:type="spellStart"/>
            <w:r w:rsidRPr="00674E8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hoaks</w:t>
            </w:r>
            <w:proofErr w:type="spellEnd"/>
            <w:r w:rsidRPr="00674E8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), </w:t>
            </w:r>
            <w:proofErr w:type="spellStart"/>
            <w:r w:rsidRPr="00674E8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namimah</w:t>
            </w:r>
            <w:proofErr w:type="spellEnd"/>
            <w:r w:rsidRPr="00674E8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674E8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tajassus</w:t>
            </w:r>
            <w:proofErr w:type="spellEnd"/>
            <w:r w:rsidRPr="00674E8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, dan </w:t>
            </w:r>
            <w:proofErr w:type="spellStart"/>
            <w:r w:rsidRPr="00674E8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ghibah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). </w:t>
            </w:r>
          </w:p>
        </w:tc>
        <w:tc>
          <w:tcPr>
            <w:tcW w:w="426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E405C" w:rsidRPr="007E405C" w:rsidTr="007E405C">
        <w:trPr>
          <w:trHeight w:val="834"/>
        </w:trPr>
        <w:tc>
          <w:tcPr>
            <w:tcW w:w="1242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54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eastAsia="MS Gothic" w:hAnsiTheme="majorBidi" w:cstheme="majorBidi"/>
                <w:sz w:val="24"/>
                <w:szCs w:val="24"/>
              </w:rPr>
            </w:pPr>
          </w:p>
        </w:tc>
        <w:tc>
          <w:tcPr>
            <w:tcW w:w="4110" w:type="dxa"/>
          </w:tcPr>
          <w:p w:rsidR="007E405C" w:rsidRPr="007E405C" w:rsidRDefault="007E405C" w:rsidP="007E405C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Sikap kolaboratif, </w:t>
            </w:r>
            <w:proofErr w:type="spellStart"/>
            <w:r w:rsidRPr="00674E8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fastabiqal-khairat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>, optimis, dinamis, etika dalam berorganisasi maupun bekerja.</w:t>
            </w:r>
          </w:p>
        </w:tc>
        <w:tc>
          <w:tcPr>
            <w:tcW w:w="426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4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eastAsia="MS Gothic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  <w:vAlign w:val="center"/>
          </w:tcPr>
          <w:p w:rsidR="007E405C" w:rsidRPr="007E405C" w:rsidRDefault="007E405C" w:rsidP="00151BEE">
            <w:pPr>
              <w:spacing w:line="20" w:lineRule="atLeast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E405C" w:rsidRPr="007E405C" w:rsidTr="007E405C">
        <w:trPr>
          <w:trHeight w:val="300"/>
        </w:trPr>
        <w:tc>
          <w:tcPr>
            <w:tcW w:w="1242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 w:val="restart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>Adab</w:t>
            </w:r>
          </w:p>
        </w:tc>
        <w:tc>
          <w:tcPr>
            <w:tcW w:w="5054" w:type="dxa"/>
            <w:vMerge w:val="restart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>Memahami adab berhias, dalam perjalanan, bertamu, dan menemui tamu, serta adab bergaul dengan teman sebaya, yang lebih tua, yang lebih muda, dan lawan jenis.</w:t>
            </w:r>
          </w:p>
        </w:tc>
        <w:tc>
          <w:tcPr>
            <w:tcW w:w="4110" w:type="dxa"/>
          </w:tcPr>
          <w:p w:rsidR="007E405C" w:rsidRPr="007E405C" w:rsidRDefault="007E405C" w:rsidP="007E405C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Adab berhias, dalam perjalanan, bertamu, dan menemui tamu. </w:t>
            </w:r>
          </w:p>
        </w:tc>
        <w:tc>
          <w:tcPr>
            <w:tcW w:w="426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E405C" w:rsidRPr="007E405C" w:rsidTr="000A359F">
        <w:trPr>
          <w:trHeight w:val="932"/>
        </w:trPr>
        <w:tc>
          <w:tcPr>
            <w:tcW w:w="1242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54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110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>Adab bergaul dengan teman sebaya, yang lebih tua, yang lebih muda, dan lawan jenis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426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E405C" w:rsidRPr="007E405C" w:rsidTr="007E405C">
        <w:trPr>
          <w:trHeight w:val="210"/>
        </w:trPr>
        <w:tc>
          <w:tcPr>
            <w:tcW w:w="1242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 w:val="restart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>Kisah Keteladanan</w:t>
            </w:r>
          </w:p>
        </w:tc>
        <w:tc>
          <w:tcPr>
            <w:tcW w:w="5054" w:type="dxa"/>
            <w:vMerge w:val="restart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Memahami keteladanan kisah para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shahabat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 (Fatimah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az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>-Zahra</w:t>
            </w:r>
            <w:r w:rsidR="00674E8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r.a.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Uwaysal-Qarni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, Abdurrahman bin Auf, Abu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Dzar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 al-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Gifari</w:t>
            </w:r>
            <w:proofErr w:type="spellEnd"/>
            <w:r w:rsidR="00674E8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r.a.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>), kesufian empat Imam mazhab (Imam Hanafi, Imam Malik, Imam Asy-Syafi'i, Imam Ahmad bin Hambal), dan ulama Nusantara (Kyai Khalil al-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Bangkalani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, Kyai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Hasyim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Asy'ari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>, dan Kyai Ahmad Dahlan).</w:t>
            </w:r>
          </w:p>
        </w:tc>
        <w:tc>
          <w:tcPr>
            <w:tcW w:w="4110" w:type="dxa"/>
          </w:tcPr>
          <w:p w:rsidR="007E405C" w:rsidRPr="007E405C" w:rsidRDefault="007E405C" w:rsidP="007E405C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Keteladanan kisah para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shahabat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 (Fatimah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az-Zahrar.a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.,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Uwaysal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Qarni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). </w:t>
            </w:r>
          </w:p>
        </w:tc>
        <w:tc>
          <w:tcPr>
            <w:tcW w:w="426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E405C" w:rsidRPr="007E405C" w:rsidTr="007E405C">
        <w:trPr>
          <w:trHeight w:val="585"/>
        </w:trPr>
        <w:tc>
          <w:tcPr>
            <w:tcW w:w="1242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54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110" w:type="dxa"/>
          </w:tcPr>
          <w:p w:rsidR="007E405C" w:rsidRPr="007E405C" w:rsidRDefault="007E405C" w:rsidP="007E405C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Kisah Abdurrahman bin Auf, Abu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Dzar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 al-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Gifari</w:t>
            </w:r>
            <w:proofErr w:type="spellEnd"/>
            <w:r w:rsidR="00674E8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r.a.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). </w:t>
            </w:r>
          </w:p>
        </w:tc>
        <w:tc>
          <w:tcPr>
            <w:tcW w:w="426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355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E405C" w:rsidRPr="007E405C" w:rsidTr="007E405C">
        <w:trPr>
          <w:trHeight w:val="225"/>
        </w:trPr>
        <w:tc>
          <w:tcPr>
            <w:tcW w:w="1242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54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110" w:type="dxa"/>
          </w:tcPr>
          <w:p w:rsidR="007E405C" w:rsidRPr="007E405C" w:rsidRDefault="007E405C" w:rsidP="007E405C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Kisah kesufian empat Imam mazhab (Imam Hanafi, Imam Malik, Imam Asy-Syafi'i, Imam Ahmad bin Hambal). </w:t>
            </w:r>
          </w:p>
        </w:tc>
        <w:tc>
          <w:tcPr>
            <w:tcW w:w="426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4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E405C" w:rsidRPr="007E405C" w:rsidTr="007E405C">
        <w:trPr>
          <w:trHeight w:val="495"/>
        </w:trPr>
        <w:tc>
          <w:tcPr>
            <w:tcW w:w="1242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09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054" w:type="dxa"/>
            <w:vMerge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110" w:type="dxa"/>
          </w:tcPr>
          <w:p w:rsidR="007E405C" w:rsidRPr="007E405C" w:rsidRDefault="007E405C" w:rsidP="007E405C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Theme="majorBidi" w:hAnsiTheme="majorBidi" w:cstheme="majorBidi"/>
                <w:sz w:val="24"/>
                <w:szCs w:val="24"/>
              </w:rPr>
              <w:t>Sifat-sifat positif ulama Nusantara (Kyai Khalil al-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Bangkalani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, Kyai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Hasyim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E405C">
              <w:rPr>
                <w:rFonts w:asciiTheme="majorBidi" w:hAnsiTheme="majorBidi" w:cstheme="majorBidi"/>
                <w:sz w:val="24"/>
                <w:szCs w:val="24"/>
              </w:rPr>
              <w:t>Asy'ari</w:t>
            </w:r>
            <w:proofErr w:type="spellEnd"/>
            <w:r w:rsidRPr="007E405C">
              <w:rPr>
                <w:rFonts w:asciiTheme="majorBidi" w:hAnsiTheme="majorBidi" w:cstheme="majorBidi"/>
                <w:sz w:val="24"/>
                <w:szCs w:val="24"/>
              </w:rPr>
              <w:t>, dan Kyai Ahmad Dahlan).</w:t>
            </w:r>
          </w:p>
        </w:tc>
        <w:tc>
          <w:tcPr>
            <w:tcW w:w="426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  <w:tc>
          <w:tcPr>
            <w:tcW w:w="283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4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5" w:type="dxa"/>
          </w:tcPr>
          <w:p w:rsidR="007E405C" w:rsidRPr="007E405C" w:rsidRDefault="007E405C" w:rsidP="00151BEE">
            <w:pPr>
              <w:spacing w:line="20" w:lineRule="atLeast"/>
              <w:rPr>
                <w:rFonts w:asciiTheme="majorBidi" w:hAnsiTheme="majorBidi" w:cstheme="majorBidi"/>
                <w:sz w:val="24"/>
                <w:szCs w:val="24"/>
              </w:rPr>
            </w:pPr>
            <w:r w:rsidRPr="007E405C">
              <w:rPr>
                <w:rFonts w:ascii="MS Gothic" w:eastAsia="MS Gothic" w:hAnsi="MS Gothic" w:cs="MS Gothic" w:hint="eastAsia"/>
                <w:sz w:val="24"/>
                <w:szCs w:val="24"/>
              </w:rPr>
              <w:t>✓</w:t>
            </w:r>
          </w:p>
        </w:tc>
      </w:tr>
    </w:tbl>
    <w:p w:rsidR="007E405C" w:rsidRPr="007E405C" w:rsidRDefault="007E405C" w:rsidP="007E405C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</w:p>
    <w:p w:rsidR="007E405C" w:rsidRPr="007E405C" w:rsidRDefault="007E405C" w:rsidP="007E405C">
      <w:pPr>
        <w:spacing w:after="0" w:line="20" w:lineRule="atLeast"/>
        <w:rPr>
          <w:rFonts w:asciiTheme="majorBidi" w:hAnsiTheme="majorBidi" w:cstheme="majorBidi"/>
          <w:sz w:val="24"/>
          <w:szCs w:val="24"/>
        </w:rPr>
      </w:pPr>
      <w:r w:rsidRPr="007E405C">
        <w:rPr>
          <w:rFonts w:asciiTheme="majorBidi" w:hAnsiTheme="majorBidi" w:cstheme="majorBidi"/>
          <w:b/>
          <w:bCs/>
          <w:sz w:val="24"/>
          <w:szCs w:val="24"/>
        </w:rPr>
        <w:t>* Keterangan Tema KBC:</w:t>
      </w:r>
      <w:r w:rsidRPr="007E405C">
        <w:rPr>
          <w:rFonts w:asciiTheme="majorBidi" w:hAnsiTheme="majorBidi" w:cstheme="majorBidi"/>
          <w:sz w:val="24"/>
          <w:szCs w:val="24"/>
        </w:rPr>
        <w:t xml:space="preserve"> 1. Cinta Allah dan Rasul-Nya 2. Cinta Ilmu 3. Cinta Lingkungan 4. </w:t>
      </w:r>
      <w:proofErr w:type="gramStart"/>
      <w:r w:rsidRPr="007E405C">
        <w:rPr>
          <w:rFonts w:asciiTheme="majorBidi" w:hAnsiTheme="majorBidi" w:cstheme="majorBidi"/>
          <w:sz w:val="24"/>
          <w:szCs w:val="24"/>
        </w:rPr>
        <w:t>Cinta Diri dan Sesama 5.</w:t>
      </w:r>
      <w:proofErr w:type="gramEnd"/>
      <w:r w:rsidRPr="007E405C">
        <w:rPr>
          <w:rFonts w:asciiTheme="majorBidi" w:hAnsiTheme="majorBidi" w:cstheme="majorBidi"/>
          <w:sz w:val="24"/>
          <w:szCs w:val="24"/>
        </w:rPr>
        <w:t xml:space="preserve"> Cinta Tanah Air</w:t>
      </w:r>
    </w:p>
    <w:p w:rsidR="000F53D8" w:rsidRPr="007E405C" w:rsidRDefault="000F53D8" w:rsidP="007E405C">
      <w:pPr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0F53D8" w:rsidRPr="007E405C" w:rsidSect="00DE7496">
      <w:footerReference w:type="default" r:id="rId7"/>
      <w:pgSz w:w="15840" w:h="12240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2644" w:rsidRDefault="00CA2644" w:rsidP="000C75AF">
      <w:pPr>
        <w:spacing w:after="0" w:line="240" w:lineRule="auto"/>
      </w:pPr>
      <w:r>
        <w:separator/>
      </w:r>
    </w:p>
  </w:endnote>
  <w:endnote w:type="continuationSeparator" w:id="0">
    <w:p w:rsidR="00CA2644" w:rsidRDefault="00CA2644" w:rsidP="000C75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5AF" w:rsidRPr="000C75AF" w:rsidRDefault="000C75AF" w:rsidP="000C75AF">
    <w:pPr>
      <w:pStyle w:val="Footer"/>
      <w:jc w:val="right"/>
      <w:rPr>
        <w:rFonts w:ascii="Forte" w:hAnsi="Forte"/>
      </w:rPr>
    </w:pPr>
    <w:r w:rsidRPr="000C75AF">
      <w:rPr>
        <w:rFonts w:ascii="Forte" w:hAnsi="Forte"/>
      </w:rPr>
      <w:t>Mukhlis Zr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2644" w:rsidRDefault="00CA2644" w:rsidP="000C75AF">
      <w:pPr>
        <w:spacing w:after="0" w:line="240" w:lineRule="auto"/>
      </w:pPr>
      <w:r>
        <w:separator/>
      </w:r>
    </w:p>
  </w:footnote>
  <w:footnote w:type="continuationSeparator" w:id="0">
    <w:p w:rsidR="00CA2644" w:rsidRDefault="00CA2644" w:rsidP="000C75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05C"/>
    <w:rsid w:val="000C75AF"/>
    <w:rsid w:val="000F53D8"/>
    <w:rsid w:val="00674E85"/>
    <w:rsid w:val="007E405C"/>
    <w:rsid w:val="00902B8C"/>
    <w:rsid w:val="00CA2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40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E40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C75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75AF"/>
  </w:style>
  <w:style w:type="paragraph" w:styleId="Footer">
    <w:name w:val="footer"/>
    <w:basedOn w:val="Normal"/>
    <w:link w:val="FooterChar"/>
    <w:uiPriority w:val="99"/>
    <w:unhideWhenUsed/>
    <w:rsid w:val="000C75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75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40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E40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C75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75AF"/>
  </w:style>
  <w:style w:type="paragraph" w:styleId="Footer">
    <w:name w:val="footer"/>
    <w:basedOn w:val="Normal"/>
    <w:link w:val="FooterChar"/>
    <w:uiPriority w:val="99"/>
    <w:unhideWhenUsed/>
    <w:rsid w:val="000C75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75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538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mukhlis zr</dc:creator>
  <cp:lastModifiedBy>DELL</cp:lastModifiedBy>
  <cp:revision>2</cp:revision>
  <dcterms:created xsi:type="dcterms:W3CDTF">2025-08-27T17:54:00Z</dcterms:created>
  <dcterms:modified xsi:type="dcterms:W3CDTF">2025-08-27T17:54:00Z</dcterms:modified>
</cp:coreProperties>
</file>